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6E0" w:rsidRDefault="00C556E0">
      <w:pPr>
        <w:spacing w:line="480" w:lineRule="auto"/>
        <w:rPr>
          <w:rFonts w:ascii="Times New Roman" w:hAnsi="Times New Roman" w:cs="Times New Roman"/>
          <w:sz w:val="24"/>
          <w:szCs w:val="24"/>
        </w:rPr>
      </w:pPr>
      <w:bookmarkStart w:id="0" w:name="_GoBack"/>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C556E0">
      <w:pPr>
        <w:spacing w:line="480" w:lineRule="auto"/>
        <w:rPr>
          <w:rFonts w:ascii="Times New Roman" w:hAnsi="Times New Roman" w:cs="Times New Roman"/>
          <w:sz w:val="24"/>
          <w:szCs w:val="24"/>
        </w:rPr>
      </w:pP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t>“Lay understanding of genetics: a test of a hypothesis”-A Review of the Article</w:t>
      </w: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“Lay understanding of genetics: a test of a hypothesis”-A Review of the Article</w:t>
      </w:r>
    </w:p>
    <w:p w:rsidR="00C556E0" w:rsidRDefault="00E24744">
      <w:pPr>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What hypothesis was tested?</w:t>
      </w:r>
    </w:p>
    <w:p w:rsidR="00C556E0" w:rsidRDefault="00E24744">
      <w:pPr>
        <w:pStyle w:val="NormalWeb"/>
        <w:spacing w:beforeAutospacing="0" w:afterAutospacing="0" w:line="480" w:lineRule="auto"/>
        <w:ind w:firstLine="720"/>
        <w:rPr>
          <w:color w:val="1C1E29"/>
        </w:rPr>
      </w:pPr>
      <w:r>
        <w:rPr>
          <w:color w:val="1C1E29"/>
        </w:rPr>
        <w:t xml:space="preserve">The study hypothesized that there is a broad lay </w:t>
      </w:r>
      <w:r>
        <w:rPr>
          <w:color w:val="1C1E29"/>
        </w:rPr>
        <w:t xml:space="preserve">knowledge </w:t>
      </w:r>
      <w:r>
        <w:rPr>
          <w:color w:val="1C1E29"/>
        </w:rPr>
        <w:t>of genetics that is inconsistent with some elements of scientific laws and theories and that obstructs the assimilation of these scientific explanations</w:t>
      </w:r>
      <w:r>
        <w:rPr>
          <w:color w:val="1C1E29"/>
        </w:rPr>
        <w:t xml:space="preserve"> (</w:t>
      </w:r>
      <w:r>
        <w:t>Richards</w:t>
      </w:r>
      <w:r>
        <w:t xml:space="preserve"> </w:t>
      </w:r>
      <w:r>
        <w:t>&amp; Ponder,</w:t>
      </w:r>
      <w:r>
        <w:t xml:space="preserve"> </w:t>
      </w:r>
      <w:r>
        <w:t>1996)</w:t>
      </w:r>
      <w:r>
        <w:rPr>
          <w:color w:val="1C1E29"/>
        </w:rPr>
        <w:t>. The researchers s</w:t>
      </w:r>
      <w:r>
        <w:rPr>
          <w:color w:val="1C1E29"/>
        </w:rPr>
        <w:t xml:space="preserve">uggest </w:t>
      </w:r>
      <w:r>
        <w:rPr>
          <w:color w:val="1C1E29"/>
        </w:rPr>
        <w:t xml:space="preserve">which </w:t>
      </w:r>
      <w:r>
        <w:rPr>
          <w:color w:val="1C1E29"/>
        </w:rPr>
        <w:t>this lay understanding is gotten from constructs of the social ties of relatedness. These kinship construct relationships are maintained through relationships and everyday activities that might force people to be conservative and oppose dynami</w:t>
      </w:r>
      <w:r>
        <w:rPr>
          <w:color w:val="1C1E29"/>
        </w:rPr>
        <w:t>sm. </w:t>
      </w:r>
    </w:p>
    <w:p w:rsidR="00C556E0" w:rsidRDefault="00E24744">
      <w:pPr>
        <w:pStyle w:val="NormalWeb"/>
        <w:numPr>
          <w:ilvl w:val="0"/>
          <w:numId w:val="1"/>
        </w:numPr>
        <w:spacing w:beforeAutospacing="0" w:afterAutospacing="0" w:line="480" w:lineRule="auto"/>
        <w:rPr>
          <w:color w:val="1C1E29"/>
        </w:rPr>
      </w:pPr>
      <w:r>
        <w:rPr>
          <w:rStyle w:val="Strong"/>
          <w:color w:val="1C1E29"/>
        </w:rPr>
        <w:t>How was it tested?</w:t>
      </w:r>
    </w:p>
    <w:p w:rsidR="00C556E0" w:rsidRDefault="00E24744">
      <w:pPr>
        <w:pStyle w:val="NormalWeb"/>
        <w:spacing w:beforeAutospacing="0" w:afterAutospacing="0" w:line="480" w:lineRule="auto"/>
        <w:ind w:firstLine="720"/>
        <w:rPr>
          <w:color w:val="1C1E29"/>
        </w:rPr>
      </w:pPr>
      <w:r>
        <w:rPr>
          <w:color w:val="1C1E29"/>
        </w:rPr>
        <w:t>The researchers tested the hypothesis through a questionnaire where they used three groups. The first two groups were adult women, with the first one made of 64 participants. These 64 participants were allowed to invite their friend</w:t>
      </w:r>
      <w:r>
        <w:rPr>
          <w:color w:val="1C1E29"/>
        </w:rPr>
        <w:t>s to contribute to the study, and 113 friends formed the second group</w:t>
      </w:r>
      <w:r>
        <w:rPr>
          <w:color w:val="1C1E29"/>
        </w:rPr>
        <w:t xml:space="preserve"> (</w:t>
      </w:r>
      <w:r>
        <w:t>Richards</w:t>
      </w:r>
      <w:r>
        <w:t xml:space="preserve"> </w:t>
      </w:r>
      <w:r>
        <w:t>&amp; Ponder,</w:t>
      </w:r>
      <w:r>
        <w:t xml:space="preserve"> </w:t>
      </w:r>
      <w:r>
        <w:t>1996)</w:t>
      </w:r>
      <w:r>
        <w:rPr>
          <w:color w:val="1C1E29"/>
        </w:rPr>
        <w:t>. The third group was made up of 73 social science students. The third were first-year students, and their questionnaire was slightly modified. The response rate</w:t>
      </w:r>
      <w:r>
        <w:rPr>
          <w:color w:val="1C1E29"/>
        </w:rPr>
        <w:t>s for the three groups were 100%, 88%, and 100% respectively</w:t>
      </w:r>
      <w:r>
        <w:rPr>
          <w:color w:val="1C1E29"/>
        </w:rPr>
        <w:t xml:space="preserve"> (</w:t>
      </w:r>
      <w:r>
        <w:t>Richards</w:t>
      </w:r>
      <w:r>
        <w:t xml:space="preserve"> </w:t>
      </w:r>
      <w:r>
        <w:t>&amp; Ponder,</w:t>
      </w:r>
      <w:r>
        <w:t xml:space="preserve"> </w:t>
      </w:r>
      <w:r>
        <w:t>1996)</w:t>
      </w:r>
      <w:r>
        <w:rPr>
          <w:color w:val="1C1E29"/>
        </w:rPr>
        <w:t>. Their mean ages were 56, 54, and 19 years respectively. The first two groups were made of females while the third group was made of 68% females. </w:t>
      </w:r>
    </w:p>
    <w:p w:rsidR="00C556E0" w:rsidRDefault="00E24744">
      <w:pPr>
        <w:pStyle w:val="NormalWeb"/>
        <w:numPr>
          <w:ilvl w:val="0"/>
          <w:numId w:val="1"/>
        </w:numPr>
        <w:spacing w:beforeAutospacing="0" w:afterAutospacing="0" w:line="480" w:lineRule="auto"/>
        <w:rPr>
          <w:color w:val="1C1E29"/>
        </w:rPr>
      </w:pPr>
      <w:r>
        <w:rPr>
          <w:rStyle w:val="Strong"/>
          <w:color w:val="1C1E29"/>
        </w:rPr>
        <w:t>Was the hypothesis sup</w:t>
      </w:r>
      <w:r>
        <w:rPr>
          <w:rStyle w:val="Strong"/>
          <w:color w:val="1C1E29"/>
        </w:rPr>
        <w:t>ported or rejected? </w:t>
      </w:r>
    </w:p>
    <w:p w:rsidR="00C556E0" w:rsidRDefault="00E24744">
      <w:pPr>
        <w:pStyle w:val="NormalWeb"/>
        <w:spacing w:beforeAutospacing="0" w:afterAutospacing="0" w:line="480" w:lineRule="auto"/>
        <w:ind w:firstLine="720"/>
        <w:rPr>
          <w:color w:val="1C1E29"/>
        </w:rPr>
      </w:pPr>
      <w:r>
        <w:rPr>
          <w:color w:val="1C1E29"/>
        </w:rPr>
        <w:t xml:space="preserve">The research supported the investigator's hypothesis. Across the three groups of respondents, a large section of them provided the correct answer for the part of </w:t>
      </w:r>
      <w:r>
        <w:rPr>
          <w:color w:val="1C1E29"/>
        </w:rPr>
        <w:t xml:space="preserve">common </w:t>
      </w:r>
      <w:r>
        <w:rPr>
          <w:color w:val="1C1E29"/>
        </w:rPr>
        <w:t xml:space="preserve">genes </w:t>
      </w:r>
      <w:r>
        <w:rPr>
          <w:color w:val="1C1E29"/>
        </w:rPr>
        <w:t xml:space="preserve">between </w:t>
      </w:r>
      <w:r>
        <w:rPr>
          <w:color w:val="1C1E29"/>
        </w:rPr>
        <w:t xml:space="preserve">a child and father than </w:t>
      </w:r>
      <w:r>
        <w:rPr>
          <w:color w:val="1C1E29"/>
        </w:rPr>
        <w:t xml:space="preserve">between </w:t>
      </w:r>
      <w:r>
        <w:rPr>
          <w:color w:val="1C1E29"/>
        </w:rPr>
        <w:t>a grandmother, uncle</w:t>
      </w:r>
      <w:r>
        <w:rPr>
          <w:color w:val="1C1E29"/>
        </w:rPr>
        <w:t>, or sister</w:t>
      </w:r>
      <w:r>
        <w:rPr>
          <w:color w:val="1C1E29"/>
        </w:rPr>
        <w:t xml:space="preserve"> (</w:t>
      </w:r>
      <w:r>
        <w:t>Richards</w:t>
      </w:r>
      <w:r>
        <w:t xml:space="preserve"> </w:t>
      </w:r>
      <w:r>
        <w:t>&amp; Ponder,</w:t>
      </w:r>
      <w:r>
        <w:t xml:space="preserve"> </w:t>
      </w:r>
      <w:r>
        <w:t>1996)</w:t>
      </w:r>
      <w:r>
        <w:rPr>
          <w:color w:val="1C1E29"/>
        </w:rPr>
        <w:t xml:space="preserve">. For the cases of these relatives, there was an accordant tendency for underestimating the level of genetic relationship as the </w:t>
      </w:r>
      <w:r>
        <w:rPr>
          <w:color w:val="1C1E29"/>
        </w:rPr>
        <w:lastRenderedPageBreak/>
        <w:t>hypothesis predicts. This means that the answers provided by the respondents agree with the researchers' hypothesis. The patter</w:t>
      </w:r>
      <w:r>
        <w:rPr>
          <w:color w:val="1C1E29"/>
        </w:rPr>
        <w:t>ns of the feedback that the three groups of participants provided astonishingly showed consistency and distinctly follows the researchers' lay knowledge of inheritance gotten from their hypothesis. The rest of the questions within the questionnaire are als</w:t>
      </w:r>
      <w:r>
        <w:rPr>
          <w:color w:val="1C1E29"/>
        </w:rPr>
        <w:t xml:space="preserve">o pertinent to the hypothesis. The researcher gave the respondents a list of questions that they were supposed to state whether they were </w:t>
      </w:r>
      <w:r>
        <w:rPr>
          <w:color w:val="1C1E29"/>
        </w:rPr>
        <w:t xml:space="preserve">correct </w:t>
      </w:r>
      <w:r>
        <w:rPr>
          <w:color w:val="1C1E29"/>
        </w:rPr>
        <w:t xml:space="preserve">or </w:t>
      </w:r>
      <w:r>
        <w:rPr>
          <w:color w:val="1C1E29"/>
        </w:rPr>
        <w:t>incorrect</w:t>
      </w:r>
      <w:r>
        <w:rPr>
          <w:color w:val="1C1E29"/>
        </w:rPr>
        <w:t xml:space="preserve">, or if they </w:t>
      </w:r>
      <w:r>
        <w:rPr>
          <w:color w:val="1C1E29"/>
        </w:rPr>
        <w:t>are not conversant with it</w:t>
      </w:r>
      <w:r>
        <w:rPr>
          <w:color w:val="1C1E29"/>
        </w:rPr>
        <w:t>. Most of the participants affirmed correctly that they did</w:t>
      </w:r>
      <w:r>
        <w:rPr>
          <w:color w:val="1C1E29"/>
        </w:rPr>
        <w:t xml:space="preserve"> not know anything about these inferences. Most of them correctly indicated to the inference "a daughter inherits more of her genes from her mother than her father" (91%, 73%, and 70% respectively for the three groups)</w:t>
      </w:r>
      <w:r>
        <w:rPr>
          <w:color w:val="1C1E29"/>
        </w:rPr>
        <w:t xml:space="preserve"> (</w:t>
      </w:r>
      <w:r>
        <w:t>Richards</w:t>
      </w:r>
      <w:r>
        <w:t xml:space="preserve"> </w:t>
      </w:r>
      <w:r>
        <w:t>&amp; Ponder</w:t>
      </w:r>
      <w:r>
        <w:t xml:space="preserve">, </w:t>
      </w:r>
      <w:r>
        <w:t>1996</w:t>
      </w:r>
      <w:r>
        <w:t>, p. 1034</w:t>
      </w:r>
      <w:r>
        <w:t>)</w:t>
      </w:r>
      <w:r>
        <w:rPr>
          <w:color w:val="1C1E29"/>
        </w:rPr>
        <w:t>. S</w:t>
      </w:r>
      <w:r>
        <w:rPr>
          <w:color w:val="1C1E29"/>
        </w:rPr>
        <w:t>aying this statement was false is a consistency with the bilateral system of kinship that lacks assorted kin terms on both sides of the family. Nonetheless, the feedback to the other inference, "human eggs and sperm contain half the amount of genetic mater</w:t>
      </w:r>
      <w:r>
        <w:rPr>
          <w:color w:val="1C1E29"/>
        </w:rPr>
        <w:t>ial found in other cells in the body" received varied responses that do not show consistency with the Mendelian theory. 59%, 28%, and 47% respectively for the three groups supported this statement</w:t>
      </w:r>
      <w:r>
        <w:rPr>
          <w:color w:val="1C1E29"/>
        </w:rPr>
        <w:t xml:space="preserve"> (</w:t>
      </w:r>
      <w:r>
        <w:t>Richards</w:t>
      </w:r>
      <w:r>
        <w:t xml:space="preserve"> </w:t>
      </w:r>
      <w:r>
        <w:t>&amp; Ponder,</w:t>
      </w:r>
      <w:r>
        <w:t xml:space="preserve"> </w:t>
      </w:r>
      <w:r>
        <w:t>1996</w:t>
      </w:r>
      <w:r>
        <w:t>, p. 1034</w:t>
      </w:r>
      <w:r>
        <w:t>)</w:t>
      </w:r>
      <w:r>
        <w:rPr>
          <w:color w:val="1C1E29"/>
        </w:rPr>
        <w:t> </w:t>
      </w:r>
    </w:p>
    <w:p w:rsidR="00C556E0" w:rsidRDefault="00E24744">
      <w:pPr>
        <w:pStyle w:val="NormalWeb"/>
        <w:numPr>
          <w:ilvl w:val="0"/>
          <w:numId w:val="2"/>
        </w:numPr>
        <w:spacing w:beforeAutospacing="0" w:afterAutospacing="0" w:line="480" w:lineRule="auto"/>
        <w:rPr>
          <w:color w:val="1C1E29"/>
        </w:rPr>
      </w:pPr>
      <w:r>
        <w:rPr>
          <w:rStyle w:val="Strong"/>
          <w:color w:val="1C1E29"/>
        </w:rPr>
        <w:t>Is the sponsor of the s</w:t>
      </w:r>
      <w:r>
        <w:rPr>
          <w:rStyle w:val="Strong"/>
          <w:color w:val="1C1E29"/>
        </w:rPr>
        <w:t>cience mentioned? </w:t>
      </w:r>
    </w:p>
    <w:p w:rsidR="00C556E0" w:rsidRDefault="00E24744">
      <w:pPr>
        <w:pStyle w:val="NormalWeb"/>
        <w:spacing w:beforeAutospacing="0" w:afterAutospacing="0" w:line="480" w:lineRule="auto"/>
        <w:ind w:firstLine="720"/>
        <w:rPr>
          <w:color w:val="1C1E29"/>
        </w:rPr>
      </w:pPr>
      <w:r>
        <w:rPr>
          <w:color w:val="1C1E29"/>
        </w:rPr>
        <w:t>The researchers mentioned the sponsors of the project. The project was sponsored by the Centre for Family Research, University of Cambridge. In any research project, conflict of interest (COI) is bound to occur. The private or personal i</w:t>
      </w:r>
      <w:r>
        <w:rPr>
          <w:color w:val="1C1E29"/>
        </w:rPr>
        <w:t xml:space="preserve">nterests of the funder or the sponsor could differ with those of the researchers or the outcomes of the research itself. The outcomes of the research will be altered and may not be accurate if the sponsor's interests are not catered for since they are the </w:t>
      </w:r>
      <w:r>
        <w:rPr>
          <w:color w:val="1C1E29"/>
        </w:rPr>
        <w:t xml:space="preserve">ones </w:t>
      </w:r>
      <w:r>
        <w:rPr>
          <w:color w:val="1C1E29"/>
        </w:rPr>
        <w:lastRenderedPageBreak/>
        <w:t>who fund the research. This, therefore, means a huge issue for the investigators for any research center. </w:t>
      </w:r>
    </w:p>
    <w:p w:rsidR="00C556E0" w:rsidRDefault="00E24744">
      <w:pPr>
        <w:pStyle w:val="NormalWeb"/>
        <w:numPr>
          <w:ilvl w:val="0"/>
          <w:numId w:val="3"/>
        </w:numPr>
        <w:spacing w:beforeAutospacing="0" w:afterAutospacing="0" w:line="480" w:lineRule="auto"/>
        <w:rPr>
          <w:color w:val="1C1E29"/>
        </w:rPr>
      </w:pPr>
      <w:r>
        <w:rPr>
          <w:rStyle w:val="Strong"/>
          <w:color w:val="1C1E29"/>
        </w:rPr>
        <w:t>What are some implications of this research? </w:t>
      </w:r>
    </w:p>
    <w:p w:rsidR="00C556E0" w:rsidRDefault="00E24744">
      <w:pPr>
        <w:pStyle w:val="NormalWeb"/>
        <w:spacing w:beforeAutospacing="0" w:afterAutospacing="0" w:line="480" w:lineRule="auto"/>
        <w:ind w:firstLine="720"/>
        <w:rPr>
          <w:color w:val="1C1E29"/>
        </w:rPr>
      </w:pPr>
      <w:r>
        <w:rPr>
          <w:color w:val="1C1E29"/>
        </w:rPr>
        <w:t>While the aforementioned knowledge gap in genetics could greatly impact studies of genetics, the implications of the information on inheritance gotten from this research can be compound for investigators, clinicians, and subjects and their blood relatives.</w:t>
      </w:r>
      <w:r>
        <w:rPr>
          <w:color w:val="1C1E29"/>
        </w:rPr>
        <w:t xml:space="preserve"> If the hypothesis is correct, it will have important implication which makes it be used in the clinic or classroom for genetic Education. It gives support in a way that the provided explanation has to start from an understanding of the pre-existing knowle</w:t>
      </w:r>
      <w:r>
        <w:rPr>
          <w:color w:val="1C1E29"/>
        </w:rPr>
        <w:t xml:space="preserve">dge. This knowledge is brought about by an individual to a learning situation as well as focusing on this knowledge and </w:t>
      </w:r>
      <w:r>
        <w:rPr>
          <w:color w:val="1C1E29"/>
        </w:rPr>
        <w:t>M</w:t>
      </w:r>
      <w:r>
        <w:rPr>
          <w:color w:val="1C1E29"/>
        </w:rPr>
        <w:t xml:space="preserve">endelian explanation. In "82" in short, Education </w:t>
      </w:r>
      <w:r>
        <w:rPr>
          <w:color w:val="1C1E29"/>
        </w:rPr>
        <w:t xml:space="preserve">ought </w:t>
      </w:r>
      <w:r>
        <w:rPr>
          <w:color w:val="1C1E29"/>
        </w:rPr>
        <w:t xml:space="preserve">not </w:t>
      </w:r>
      <w:r>
        <w:rPr>
          <w:color w:val="1C1E29"/>
        </w:rPr>
        <w:t xml:space="preserve">to </w:t>
      </w:r>
      <w:r>
        <w:rPr>
          <w:color w:val="1C1E29"/>
        </w:rPr>
        <w:t xml:space="preserve">stop as it has been </w:t>
      </w:r>
      <w:r>
        <w:rPr>
          <w:color w:val="1C1E29"/>
        </w:rPr>
        <w:t xml:space="preserve">proposed </w:t>
      </w:r>
      <w:r>
        <w:rPr>
          <w:color w:val="1C1E29"/>
        </w:rPr>
        <w:t xml:space="preserve">by individuals doing science education. In </w:t>
      </w:r>
      <w:r>
        <w:rPr>
          <w:color w:val="1C1E29"/>
        </w:rPr>
        <w:t>"32' which starts from the bottom</w:t>
      </w:r>
      <w:r>
        <w:rPr>
          <w:color w:val="1C1E29"/>
        </w:rPr>
        <w:t>-</w:t>
      </w:r>
      <w:r>
        <w:rPr>
          <w:color w:val="1C1E29"/>
        </w:rPr>
        <w:t xml:space="preserve">up or </w:t>
      </w:r>
      <w:r>
        <w:rPr>
          <w:color w:val="1C1E29"/>
        </w:rPr>
        <w:t>instead of</w:t>
      </w:r>
      <w:r>
        <w:rPr>
          <w:color w:val="1C1E29"/>
        </w:rPr>
        <w:t xml:space="preserve"> the conventional one which is "top down" </w:t>
      </w:r>
      <w:r>
        <w:rPr>
          <w:color w:val="1C1E29"/>
        </w:rPr>
        <w:t>technique</w:t>
      </w:r>
      <w:r>
        <w:rPr>
          <w:color w:val="1C1E29"/>
        </w:rPr>
        <w:t>. This approach starts with an attempt to providing a simple account and scientific position. The achievement of scientific understanding widely is unsucce</w:t>
      </w:r>
      <w:r>
        <w:rPr>
          <w:color w:val="1C1E29"/>
        </w:rPr>
        <w:t xml:space="preserve">ssful to the top down accounts which disregard the former </w:t>
      </w:r>
      <w:r>
        <w:rPr>
          <w:color w:val="1C1E29"/>
        </w:rPr>
        <w:t xml:space="preserve">understanding </w:t>
      </w:r>
      <w:r>
        <w:rPr>
          <w:color w:val="1C1E29"/>
        </w:rPr>
        <w:t>of individuals who came to the clinics and school pupils733. Currently, they are busy in coming up with an empirical test of an evidence-based bottom-up approach to clinics and genetic</w:t>
      </w:r>
      <w:r>
        <w:rPr>
          <w:color w:val="1C1E29"/>
        </w:rPr>
        <w:t xml:space="preserve"> Education in different institutions</w:t>
      </w:r>
      <w:r>
        <w:rPr>
          <w:color w:val="1C1E29"/>
        </w:rPr>
        <w:t xml:space="preserve"> (</w:t>
      </w:r>
      <w:r>
        <w:t>Richards</w:t>
      </w:r>
      <w:r>
        <w:t xml:space="preserve"> </w:t>
      </w:r>
      <w:r>
        <w:t>&amp; Ponder,</w:t>
      </w:r>
      <w:r>
        <w:t xml:space="preserve"> </w:t>
      </w:r>
      <w:r>
        <w:t>1996</w:t>
      </w:r>
      <w:r>
        <w:t>, p. 1035</w:t>
      </w:r>
      <w:r>
        <w:t>)</w:t>
      </w:r>
      <w:r>
        <w:rPr>
          <w:color w:val="1C1E29"/>
        </w:rPr>
        <w:t>.</w:t>
      </w:r>
    </w:p>
    <w:p w:rsidR="00C556E0" w:rsidRDefault="00E24744">
      <w:pPr>
        <w:pStyle w:val="NormalWeb"/>
        <w:spacing w:beforeAutospacing="0" w:afterAutospacing="0" w:line="480" w:lineRule="auto"/>
        <w:ind w:firstLine="720"/>
        <w:rPr>
          <w:color w:val="1C1E29"/>
        </w:rPr>
      </w:pPr>
      <w:r>
        <w:rPr>
          <w:color w:val="1C1E29"/>
        </w:rPr>
        <w:t>Generally, the research provides more opportunities more than challenges. One of the opportunities is an investigation of environmental measures such as social genotypes. Social pheno</w:t>
      </w:r>
      <w:r>
        <w:rPr>
          <w:color w:val="1C1E29"/>
        </w:rPr>
        <w:t xml:space="preserve">typic influence has been studied, for instance, whether friends can make someone fat. Conducting a social version of the Mendelian theory can offer a robust basis for casual inference. This means that the genetics antecedently </w:t>
      </w:r>
      <w:r>
        <w:rPr>
          <w:color w:val="1C1E29"/>
        </w:rPr>
        <w:lastRenderedPageBreak/>
        <w:t>associated with a specific ph</w:t>
      </w:r>
      <w:r>
        <w:rPr>
          <w:color w:val="1C1E29"/>
        </w:rPr>
        <w:t>enotype might not be the sole relevant genetics while putting effects of social impact on the phenotype are being considered. Besides the direct impact of the social genome, it is possible for the relationship between personal and social genetics. Certainl</w:t>
      </w:r>
      <w:r>
        <w:rPr>
          <w:color w:val="1C1E29"/>
        </w:rPr>
        <w:t>y, social genotyping may be employed in studying the linkage between the gene of an individual and those of the socially approximate persons. A significant challenge here is explaining the level of the independent determination of the social genotypes. For</w:t>
      </w:r>
      <w:r>
        <w:rPr>
          <w:color w:val="1C1E29"/>
        </w:rPr>
        <w:t xml:space="preserve"> instance, people with similar traits divide sort themselves together into social groups; a situation referred to as homophily. This shows the possibility of reverse causation. That is, the phenotypic characteristics of a person might influence the genetic</w:t>
      </w:r>
      <w:r>
        <w:rPr>
          <w:color w:val="1C1E29"/>
        </w:rPr>
        <w:t xml:space="preserve"> makeup of their social surrounding. Nonetheless, the rising impact of genetic decision-making in disease and health makes it crucial for educating the public on this matter. Therefore, the study has an implication on the </w:t>
      </w:r>
      <w:r>
        <w:rPr>
          <w:color w:val="1C1E29"/>
        </w:rPr>
        <w:t>e</w:t>
      </w:r>
      <w:r>
        <w:rPr>
          <w:color w:val="1C1E29"/>
        </w:rPr>
        <w:t>ducation of the public concerning</w:t>
      </w:r>
      <w:r>
        <w:rPr>
          <w:color w:val="1C1E29"/>
        </w:rPr>
        <w:t xml:space="preserve"> matters on the inheritance of genetic information. </w:t>
      </w:r>
    </w:p>
    <w:p w:rsidR="00C556E0" w:rsidRDefault="00E24744">
      <w:pPr>
        <w:pStyle w:val="NormalWeb"/>
        <w:numPr>
          <w:ilvl w:val="0"/>
          <w:numId w:val="4"/>
        </w:numPr>
        <w:spacing w:beforeAutospacing="0" w:afterAutospacing="0" w:line="480" w:lineRule="auto"/>
        <w:rPr>
          <w:color w:val="1C1E29"/>
        </w:rPr>
      </w:pPr>
      <w:r>
        <w:rPr>
          <w:rStyle w:val="Strong"/>
          <w:color w:val="1C1E29"/>
        </w:rPr>
        <w:t>What could you do if you wanted to find out more about the topic? </w:t>
      </w:r>
    </w:p>
    <w:p w:rsidR="00C556E0" w:rsidRDefault="00E24744">
      <w:pPr>
        <w:pStyle w:val="NormalWeb"/>
        <w:spacing w:beforeAutospacing="0" w:afterAutospacing="0" w:line="480" w:lineRule="auto"/>
        <w:ind w:firstLine="720"/>
        <w:rPr>
          <w:color w:val="1C1E29"/>
        </w:rPr>
      </w:pPr>
      <w:r>
        <w:rPr>
          <w:color w:val="1C1E29"/>
        </w:rPr>
        <w:t>If I wanted to learn more about the topic, I would undertake comprehensive research from scientific materials within my reach. This incl</w:t>
      </w:r>
      <w:r>
        <w:rPr>
          <w:color w:val="1C1E29"/>
        </w:rPr>
        <w:t>udes resources from the library and from the relevant scientific search engines. The resources would include enough primary and secondary credible sources on the subject. The subject is an exploration of the public knowledge of the basic constructs of gene</w:t>
      </w:r>
      <w:r>
        <w:rPr>
          <w:color w:val="1C1E29"/>
        </w:rPr>
        <w:t>tics. Then, I would carefully read them and get pertinent evidence for supporting the thesis I'd have previously developed. After a critical evaluation of the sources, I would then take notes, and make a documentation of the sources. Taking notes will invo</w:t>
      </w:r>
      <w:r>
        <w:rPr>
          <w:color w:val="1C1E29"/>
        </w:rPr>
        <w:t>lve writing summaries and comparing basic concepts discussed within the various sources to draw general inferences on the topic. </w:t>
      </w:r>
    </w:p>
    <w:p w:rsidR="00C556E0" w:rsidRDefault="00E2474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556E0" w:rsidRDefault="00E2474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556E0" w:rsidRDefault="00E24744">
      <w:pPr>
        <w:spacing w:line="480" w:lineRule="auto"/>
        <w:jc w:val="both"/>
        <w:rPr>
          <w:rFonts w:ascii="Times New Roman" w:hAnsi="Times New Roman" w:cs="Times New Roman"/>
          <w:sz w:val="24"/>
          <w:szCs w:val="24"/>
        </w:rPr>
      </w:pPr>
      <w:r>
        <w:rPr>
          <w:rFonts w:ascii="Times New Roman" w:hAnsi="Times New Roman" w:cs="Times New Roman"/>
          <w:sz w:val="24"/>
          <w:szCs w:val="24"/>
        </w:rPr>
        <w:t>Richards, M., &amp; Ponder, M. (1996). Lay understanding of genetics: a test of a hypothesis. </w:t>
      </w:r>
      <w:r>
        <w:rPr>
          <w:rFonts w:ascii="Times New Roman" w:hAnsi="Times New Roman" w:cs="Times New Roman"/>
          <w:i/>
          <w:iCs/>
          <w:sz w:val="24"/>
          <w:szCs w:val="24"/>
        </w:rPr>
        <w:t xml:space="preserve">Journal of Medical </w:t>
      </w:r>
      <w:r>
        <w:rPr>
          <w:rFonts w:ascii="Times New Roman" w:hAnsi="Times New Roman" w:cs="Times New Roman"/>
          <w:i/>
          <w:iCs/>
          <w:sz w:val="24"/>
          <w:szCs w:val="24"/>
        </w:rPr>
        <w:t>Genetics, 33</w:t>
      </w:r>
      <w:r>
        <w:rPr>
          <w:rFonts w:ascii="Times New Roman" w:hAnsi="Times New Roman" w:cs="Times New Roman"/>
          <w:sz w:val="24"/>
          <w:szCs w:val="24"/>
        </w:rPr>
        <w:t>(12), 1032-1036.</w:t>
      </w:r>
      <w:bookmarkEnd w:id="0"/>
    </w:p>
    <w:sectPr w:rsidR="00C556E0">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744" w:rsidRDefault="00E24744">
      <w:pPr>
        <w:spacing w:after="0" w:line="240" w:lineRule="auto"/>
      </w:pPr>
      <w:r>
        <w:separator/>
      </w:r>
    </w:p>
  </w:endnote>
  <w:endnote w:type="continuationSeparator" w:id="0">
    <w:p w:rsidR="00E24744" w:rsidRDefault="00E2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744" w:rsidRDefault="00E24744">
      <w:pPr>
        <w:spacing w:after="0" w:line="240" w:lineRule="auto"/>
      </w:pPr>
      <w:r>
        <w:separator/>
      </w:r>
    </w:p>
  </w:footnote>
  <w:footnote w:type="continuationSeparator" w:id="0">
    <w:p w:rsidR="00E24744" w:rsidRDefault="00E24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6E0" w:rsidRDefault="00E24744">
    <w:pPr>
      <w:pStyle w:val="Heade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556E0" w:rsidRDefault="00E24744">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57F9B">
                            <w:rPr>
                              <w:rFonts w:ascii="Times New Roman" w:hAnsi="Times New Roman" w:cs="Times New Roman"/>
                              <w:noProof/>
                              <w:sz w:val="24"/>
                              <w:szCs w:val="24"/>
                            </w:rPr>
                            <w:t>2</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C556E0" w:rsidRDefault="00E24744">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57F9B">
                      <w:rPr>
                        <w:rFonts w:ascii="Times New Roman" w:hAnsi="Times New Roman" w:cs="Times New Roman"/>
                        <w:noProof/>
                        <w:sz w:val="24"/>
                        <w:szCs w:val="24"/>
                      </w:rPr>
                      <w:t>2</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ARTICLE REVIEW</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6E0" w:rsidRDefault="00E2474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556E0" w:rsidRDefault="00E24744">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57F9B">
                            <w:rPr>
                              <w:rFonts w:ascii="Times New Roman" w:hAnsi="Times New Roman" w:cs="Times New Roman"/>
                              <w:noProof/>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p w:rsidR="00C556E0" w:rsidRDefault="00E24744">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57F9B">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ARTICLE REVIEW</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F54988"/>
    <w:multiLevelType w:val="singleLevel"/>
    <w:tmpl w:val="87F54988"/>
    <w:lvl w:ilvl="0">
      <w:start w:val="1"/>
      <w:numFmt w:val="decimal"/>
      <w:suff w:val="space"/>
      <w:lvlText w:val="%1."/>
      <w:lvlJc w:val="left"/>
    </w:lvl>
  </w:abstractNum>
  <w:abstractNum w:abstractNumId="1" w15:restartNumberingAfterBreak="0">
    <w:nsid w:val="9B51AA18"/>
    <w:multiLevelType w:val="singleLevel"/>
    <w:tmpl w:val="9B51AA18"/>
    <w:lvl w:ilvl="0">
      <w:start w:val="4"/>
      <w:numFmt w:val="decimal"/>
      <w:suff w:val="space"/>
      <w:lvlText w:val="%1."/>
      <w:lvlJc w:val="left"/>
    </w:lvl>
  </w:abstractNum>
  <w:abstractNum w:abstractNumId="2" w15:restartNumberingAfterBreak="0">
    <w:nsid w:val="E0882F15"/>
    <w:multiLevelType w:val="singleLevel"/>
    <w:tmpl w:val="E0882F15"/>
    <w:lvl w:ilvl="0">
      <w:start w:val="5"/>
      <w:numFmt w:val="decimal"/>
      <w:suff w:val="space"/>
      <w:lvlText w:val="%1."/>
      <w:lvlJc w:val="left"/>
    </w:lvl>
  </w:abstractNum>
  <w:abstractNum w:abstractNumId="3" w15:restartNumberingAfterBreak="0">
    <w:nsid w:val="FD33CA63"/>
    <w:multiLevelType w:val="singleLevel"/>
    <w:tmpl w:val="FD33CA63"/>
    <w:lvl w:ilvl="0">
      <w:start w:val="6"/>
      <w:numFmt w:val="decimal"/>
      <w:suff w:val="space"/>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457F9B"/>
    <w:rsid w:val="00C556E0"/>
    <w:rsid w:val="00E24744"/>
    <w:rsid w:val="01FE2CFC"/>
    <w:rsid w:val="03677A1E"/>
    <w:rsid w:val="03AD6E86"/>
    <w:rsid w:val="05DE1A35"/>
    <w:rsid w:val="05FE6481"/>
    <w:rsid w:val="06093F92"/>
    <w:rsid w:val="06E81644"/>
    <w:rsid w:val="08807056"/>
    <w:rsid w:val="0A220B4A"/>
    <w:rsid w:val="0D5A66DE"/>
    <w:rsid w:val="0EF86706"/>
    <w:rsid w:val="0EFF3E80"/>
    <w:rsid w:val="13030044"/>
    <w:rsid w:val="136C0A8C"/>
    <w:rsid w:val="14864710"/>
    <w:rsid w:val="15D9293E"/>
    <w:rsid w:val="16FE1C0F"/>
    <w:rsid w:val="1A23306E"/>
    <w:rsid w:val="1C1D5826"/>
    <w:rsid w:val="1C6D24DE"/>
    <w:rsid w:val="1C855E38"/>
    <w:rsid w:val="1D672B84"/>
    <w:rsid w:val="1F462C2A"/>
    <w:rsid w:val="1F4B796E"/>
    <w:rsid w:val="1F9E4DE8"/>
    <w:rsid w:val="20A51F25"/>
    <w:rsid w:val="24AB68AA"/>
    <w:rsid w:val="25717A72"/>
    <w:rsid w:val="27065142"/>
    <w:rsid w:val="27CB4FE4"/>
    <w:rsid w:val="28B814ED"/>
    <w:rsid w:val="28D564EE"/>
    <w:rsid w:val="2DF70574"/>
    <w:rsid w:val="2E946710"/>
    <w:rsid w:val="2ECD0D54"/>
    <w:rsid w:val="2FD76B47"/>
    <w:rsid w:val="3148399D"/>
    <w:rsid w:val="3199274B"/>
    <w:rsid w:val="32455D07"/>
    <w:rsid w:val="32632962"/>
    <w:rsid w:val="344754AD"/>
    <w:rsid w:val="36FC5E02"/>
    <w:rsid w:val="37B2344F"/>
    <w:rsid w:val="38145AE3"/>
    <w:rsid w:val="398C6F38"/>
    <w:rsid w:val="3BBA0764"/>
    <w:rsid w:val="3D236D70"/>
    <w:rsid w:val="3D681E01"/>
    <w:rsid w:val="3D8B07D9"/>
    <w:rsid w:val="3DBD045B"/>
    <w:rsid w:val="3E5C1E8D"/>
    <w:rsid w:val="404E5A70"/>
    <w:rsid w:val="41806EC4"/>
    <w:rsid w:val="42467B67"/>
    <w:rsid w:val="42531B16"/>
    <w:rsid w:val="43CF73F7"/>
    <w:rsid w:val="45184BE0"/>
    <w:rsid w:val="4A433DF4"/>
    <w:rsid w:val="4A8D7546"/>
    <w:rsid w:val="4B1442AD"/>
    <w:rsid w:val="4C086027"/>
    <w:rsid w:val="4C1A2EF9"/>
    <w:rsid w:val="4EE968A7"/>
    <w:rsid w:val="52370CA8"/>
    <w:rsid w:val="559F24C0"/>
    <w:rsid w:val="56452894"/>
    <w:rsid w:val="57122CC8"/>
    <w:rsid w:val="59A37B60"/>
    <w:rsid w:val="5A706715"/>
    <w:rsid w:val="5C4418E8"/>
    <w:rsid w:val="5CD21C4C"/>
    <w:rsid w:val="5D1972F1"/>
    <w:rsid w:val="5DDD0CFE"/>
    <w:rsid w:val="5E7C25F8"/>
    <w:rsid w:val="5E7F324B"/>
    <w:rsid w:val="5EB400AD"/>
    <w:rsid w:val="5EE75276"/>
    <w:rsid w:val="60B961DE"/>
    <w:rsid w:val="60FB057F"/>
    <w:rsid w:val="621D71A4"/>
    <w:rsid w:val="62D175AD"/>
    <w:rsid w:val="62E94C40"/>
    <w:rsid w:val="63E922DC"/>
    <w:rsid w:val="65684BC7"/>
    <w:rsid w:val="656C6E3F"/>
    <w:rsid w:val="65832B2E"/>
    <w:rsid w:val="69B233A5"/>
    <w:rsid w:val="6AA90409"/>
    <w:rsid w:val="76843465"/>
    <w:rsid w:val="790D0E30"/>
    <w:rsid w:val="79A9594C"/>
    <w:rsid w:val="7A9F6883"/>
    <w:rsid w:val="7B321CBF"/>
    <w:rsid w:val="7C9436E5"/>
    <w:rsid w:val="7CAF1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80AA03-148A-489A-A67D-B1890DE8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next w:val="Normal"/>
    <w:qFormat/>
    <w:pPr>
      <w:spacing w:beforeAutospacing="1" w:after="0" w:afterAutospacing="1"/>
      <w:outlineLvl w:val="0"/>
    </w:pPr>
    <w:rPr>
      <w:rFonts w:ascii="SimSun" w:hAnsi="SimSun" w:hint="eastAsia"/>
      <w:b/>
      <w:bCs/>
      <w:kern w:val="44"/>
      <w:sz w:val="48"/>
      <w:szCs w:val="48"/>
      <w:lang w:val="en-US" w:eastAsia="zh-CN"/>
    </w:rPr>
  </w:style>
  <w:style w:type="paragraph" w:styleId="Heading3">
    <w:name w:val="heading 3"/>
    <w:next w:val="Normal"/>
    <w:semiHidden/>
    <w:unhideWhenUsed/>
    <w:qFormat/>
    <w:pPr>
      <w:spacing w:beforeAutospacing="1" w:after="0"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qFormat/>
    <w:pPr>
      <w:spacing w:beforeAutospacing="1" w:after="0" w:afterAutospacing="1"/>
    </w:pPr>
    <w:rPr>
      <w:sz w:val="24"/>
      <w:szCs w:val="24"/>
      <w:lang w:val="en-US" w:eastAsia="zh-CN"/>
    </w:rPr>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coyboowriters</dc:creator>
  <cp:lastModifiedBy>Windows User</cp:lastModifiedBy>
  <cp:revision>2</cp:revision>
  <dcterms:created xsi:type="dcterms:W3CDTF">2019-09-29T20:46:00Z</dcterms:created>
  <dcterms:modified xsi:type="dcterms:W3CDTF">2019-09-29T20:46:00Z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